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D1AC" w14:textId="77777777" w:rsidR="00856602" w:rsidRDefault="00856602" w:rsidP="00856602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39369F5" w14:textId="77777777" w:rsidR="008F7F72" w:rsidRDefault="00856602" w:rsidP="00856602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8F7F72">
        <w:rPr>
          <w:rFonts w:ascii="Palatino Linotype" w:hAnsi="Palatino Linotype"/>
          <w:b/>
          <w:bCs/>
          <w:sz w:val="28"/>
          <w:szCs w:val="28"/>
        </w:rPr>
        <w:t xml:space="preserve">GUIDA OPERATIVA </w:t>
      </w:r>
    </w:p>
    <w:p w14:paraId="0954B7DF" w14:textId="77777777" w:rsidR="00856602" w:rsidRPr="008F7F72" w:rsidRDefault="00856602" w:rsidP="00856602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8F7F72">
        <w:rPr>
          <w:rFonts w:ascii="Palatino Linotype" w:hAnsi="Palatino Linotype"/>
          <w:b/>
          <w:bCs/>
          <w:sz w:val="28"/>
          <w:szCs w:val="28"/>
        </w:rPr>
        <w:t>PER LA CONSULTAZIONE DEI FASCICOLI DA REMOTO</w:t>
      </w:r>
    </w:p>
    <w:p w14:paraId="121E8DA7" w14:textId="77777777" w:rsidR="00856602" w:rsidRPr="000878EC" w:rsidRDefault="00856602" w:rsidP="00856602">
      <w:pPr>
        <w:rPr>
          <w:rFonts w:ascii="Palatino Linotype" w:hAnsi="Palatino Linotype"/>
        </w:rPr>
      </w:pPr>
    </w:p>
    <w:p w14:paraId="392CF684" w14:textId="77777777" w:rsidR="00856602" w:rsidRDefault="00856602" w:rsidP="00856602">
      <w:pPr>
        <w:rPr>
          <w:rFonts w:ascii="Palatino Linotype" w:hAnsi="Palatino Linotype"/>
        </w:rPr>
      </w:pPr>
      <w:bookmarkStart w:id="0" w:name="_Hlk117185343"/>
      <w:r w:rsidRPr="000878EC">
        <w:rPr>
          <w:rFonts w:ascii="Palatino Linotype" w:hAnsi="Palatino Linotype"/>
        </w:rPr>
        <w:t xml:space="preserve">Il servizio di consultazione da remoto del fascicolo documentale TIAP Document@ è accessibile dal Portale Servizi Telematici del Ministero della Giustizia (PST) </w:t>
      </w:r>
      <w:hyperlink r:id="rId11" w:history="1">
        <w:r w:rsidR="008F7F72" w:rsidRPr="00E90E4A">
          <w:rPr>
            <w:rStyle w:val="Collegamentoipertestuale"/>
            <w:rFonts w:ascii="Palatino Linotype" w:hAnsi="Palatino Linotype"/>
            <w:b/>
            <w:bCs/>
            <w:i/>
            <w:iCs/>
          </w:rPr>
          <w:t>http://pst.giustizia.it</w:t>
        </w:r>
      </w:hyperlink>
      <w:r w:rsidRPr="008F7F72">
        <w:rPr>
          <w:rFonts w:ascii="Palatino Linotype" w:hAnsi="Palatino Linotype"/>
        </w:rPr>
        <w:t xml:space="preserve"> </w:t>
      </w:r>
      <w:r w:rsidRPr="006F229F">
        <w:rPr>
          <w:rFonts w:ascii="Palatino Linotype" w:hAnsi="Palatino Linotype"/>
        </w:rPr>
        <w:t>tramite</w:t>
      </w:r>
      <w:r w:rsidRPr="000878EC">
        <w:rPr>
          <w:rFonts w:ascii="Palatino Linotype" w:hAnsi="Palatino Linotype"/>
        </w:rPr>
        <w:t xml:space="preserve"> l’Area Riservata, dai soggetti iscritti nel Registro degli Indirizzi Elettronici (ReGindE) con il ruolo di avvocato. </w:t>
      </w:r>
    </w:p>
    <w:bookmarkEnd w:id="0"/>
    <w:p w14:paraId="0CF9FE4C" w14:textId="77777777" w:rsidR="00856602" w:rsidRDefault="00856602" w:rsidP="00856602">
      <w:pPr>
        <w:rPr>
          <w:rFonts w:ascii="Palatino Linotype" w:hAnsi="Palatino Linotype"/>
        </w:rPr>
      </w:pPr>
    </w:p>
    <w:p w14:paraId="6D9D6301" w14:textId="77777777" w:rsidR="00856602" w:rsidRPr="00906DA8" w:rsidRDefault="00856602" w:rsidP="00856602">
      <w:pPr>
        <w:rPr>
          <w:rFonts w:ascii="Palatino Linotype" w:hAnsi="Palatino Linotype"/>
          <w:b/>
          <w:bCs/>
          <w:u w:val="single"/>
        </w:rPr>
      </w:pPr>
      <w:r w:rsidRPr="000878EC">
        <w:rPr>
          <w:rFonts w:ascii="Palatino Linotype" w:hAnsi="Palatino Linotype"/>
        </w:rPr>
        <w:t xml:space="preserve">Sono disponibili per la consultazione da remoto i fascicoli digitalizzati </w:t>
      </w:r>
      <w:r w:rsidRPr="00906DA8">
        <w:rPr>
          <w:rFonts w:ascii="Palatino Linotype" w:hAnsi="Palatino Linotype"/>
          <w:b/>
          <w:bCs/>
          <w:u w:val="single"/>
        </w:rPr>
        <w:t>depositati con avviso conclusione delle indagini preliminari o con avviso della richiesta di archiviazione ex art. 408 c.p.p.</w:t>
      </w:r>
    </w:p>
    <w:p w14:paraId="49EBFC72" w14:textId="77777777" w:rsidR="00856602" w:rsidRDefault="00856602" w:rsidP="00856602">
      <w:pPr>
        <w:rPr>
          <w:rFonts w:ascii="Palatino Linotype" w:hAnsi="Palatino Linotype"/>
        </w:rPr>
      </w:pPr>
    </w:p>
    <w:p w14:paraId="7D408E95" w14:textId="77777777" w:rsidR="008F7F72" w:rsidRDefault="008F7F72" w:rsidP="00856602">
      <w:pPr>
        <w:rPr>
          <w:rFonts w:ascii="Palatino Linotype" w:hAnsi="Palatino Linotype"/>
        </w:rPr>
      </w:pPr>
    </w:p>
    <w:p w14:paraId="30AADCEC" w14:textId="77777777" w:rsidR="00856602" w:rsidRPr="008F7F72" w:rsidRDefault="00856602" w:rsidP="00856602">
      <w:pPr>
        <w:rPr>
          <w:rFonts w:ascii="Palatino Linotype" w:hAnsi="Palatino Linotype"/>
          <w:b/>
          <w:bCs/>
          <w:u w:val="single"/>
        </w:rPr>
      </w:pPr>
      <w:r w:rsidRPr="008F7F72">
        <w:rPr>
          <w:rFonts w:ascii="Palatino Linotype" w:hAnsi="Palatino Linotype"/>
          <w:b/>
          <w:bCs/>
          <w:u w:val="single"/>
        </w:rPr>
        <w:t xml:space="preserve">REQUISITI NECESSARI PER LA CONSULTAZIONE </w:t>
      </w:r>
    </w:p>
    <w:p w14:paraId="25EA07B4" w14:textId="77777777" w:rsidR="00856602" w:rsidRPr="008F7F72" w:rsidRDefault="00856602" w:rsidP="00856602">
      <w:pPr>
        <w:rPr>
          <w:rFonts w:ascii="Palatino Linotype" w:hAnsi="Palatino Linotype"/>
          <w:szCs w:val="24"/>
        </w:rPr>
      </w:pPr>
    </w:p>
    <w:p w14:paraId="1E364030" w14:textId="77777777" w:rsidR="00856602" w:rsidRPr="008F7F72" w:rsidRDefault="00856602" w:rsidP="00856602">
      <w:pPr>
        <w:pStyle w:val="Paragrafoelenco"/>
        <w:numPr>
          <w:ilvl w:val="0"/>
          <w:numId w:val="13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7F72">
        <w:rPr>
          <w:rFonts w:ascii="Palatino Linotype" w:hAnsi="Palatino Linotype"/>
          <w:sz w:val="24"/>
          <w:szCs w:val="24"/>
        </w:rPr>
        <w:t xml:space="preserve">deve essere stato notificato l’avviso ex art. 415 bis c.p.p. o l’avviso </w:t>
      </w:r>
      <w:r w:rsidR="008F7F72">
        <w:rPr>
          <w:rFonts w:ascii="Palatino Linotype" w:hAnsi="Palatino Linotype"/>
          <w:sz w:val="24"/>
          <w:szCs w:val="24"/>
        </w:rPr>
        <w:t>ai sensi dell’</w:t>
      </w:r>
      <w:r w:rsidRPr="008F7F72">
        <w:rPr>
          <w:rFonts w:ascii="Palatino Linotype" w:hAnsi="Palatino Linotype"/>
          <w:sz w:val="24"/>
          <w:szCs w:val="24"/>
        </w:rPr>
        <w:t xml:space="preserve">art. 408 c.p.p.; </w:t>
      </w:r>
    </w:p>
    <w:p w14:paraId="224922F8" w14:textId="77777777" w:rsidR="00856602" w:rsidRPr="008F7F72" w:rsidRDefault="00856602" w:rsidP="00856602">
      <w:pPr>
        <w:pStyle w:val="Paragrafoelenco"/>
        <w:numPr>
          <w:ilvl w:val="0"/>
          <w:numId w:val="13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7F72">
        <w:rPr>
          <w:rFonts w:ascii="Palatino Linotype" w:hAnsi="Palatino Linotype"/>
          <w:sz w:val="24"/>
          <w:szCs w:val="24"/>
        </w:rPr>
        <w:t xml:space="preserve">il procedimento deve essere “visibile” al difensore nell’Elenco Procedimenti Autorizzati (se il procedimento penale non compare nell’Elenco Procedimenti Autorizzati nonostante l’avvio della funzione </w:t>
      </w:r>
      <w:r w:rsidRPr="008F7F72">
        <w:rPr>
          <w:rFonts w:ascii="Palatino Linotype" w:hAnsi="Palatino Linotype"/>
          <w:b/>
          <w:bCs/>
          <w:sz w:val="24"/>
          <w:szCs w:val="24"/>
        </w:rPr>
        <w:t>Aggiorna Elenco</w:t>
      </w:r>
      <w:r w:rsidRPr="008F7F72">
        <w:rPr>
          <w:rFonts w:ascii="Palatino Linotype" w:hAnsi="Palatino Linotype"/>
          <w:sz w:val="24"/>
          <w:szCs w:val="24"/>
        </w:rPr>
        <w:t xml:space="preserve">, il difensore dovrà utilizzare l’apposita funzione </w:t>
      </w:r>
      <w:r w:rsidR="008F7F72">
        <w:rPr>
          <w:rFonts w:ascii="Palatino Linotype" w:hAnsi="Palatino Linotype"/>
          <w:b/>
          <w:bCs/>
          <w:sz w:val="24"/>
          <w:szCs w:val="24"/>
        </w:rPr>
        <w:t>S</w:t>
      </w:r>
      <w:r w:rsidRPr="008F7F72">
        <w:rPr>
          <w:rFonts w:ascii="Palatino Linotype" w:hAnsi="Palatino Linotype"/>
          <w:b/>
          <w:bCs/>
          <w:sz w:val="24"/>
          <w:szCs w:val="24"/>
        </w:rPr>
        <w:t xml:space="preserve">ollecito </w:t>
      </w:r>
      <w:r w:rsidR="008F7F72">
        <w:rPr>
          <w:rFonts w:ascii="Palatino Linotype" w:hAnsi="Palatino Linotype"/>
          <w:b/>
          <w:bCs/>
          <w:sz w:val="24"/>
          <w:szCs w:val="24"/>
        </w:rPr>
        <w:t>N</w:t>
      </w:r>
      <w:r w:rsidRPr="008F7F72">
        <w:rPr>
          <w:rFonts w:ascii="Palatino Linotype" w:hAnsi="Palatino Linotype"/>
          <w:b/>
          <w:bCs/>
          <w:sz w:val="24"/>
          <w:szCs w:val="24"/>
        </w:rPr>
        <w:t>omina</w:t>
      </w:r>
      <w:r w:rsidRPr="008F7F72">
        <w:rPr>
          <w:rFonts w:ascii="Palatino Linotype" w:hAnsi="Palatino Linotype"/>
          <w:sz w:val="24"/>
          <w:szCs w:val="24"/>
        </w:rPr>
        <w:t xml:space="preserve"> all’interno del Portale. </w:t>
      </w:r>
    </w:p>
    <w:p w14:paraId="6ACF3A0A" w14:textId="77777777" w:rsidR="00856602" w:rsidRPr="008F7F72" w:rsidRDefault="00856602" w:rsidP="00856602">
      <w:pPr>
        <w:rPr>
          <w:rFonts w:ascii="Palatino Linotype" w:hAnsi="Palatino Linotype"/>
          <w:szCs w:val="24"/>
        </w:rPr>
      </w:pPr>
    </w:p>
    <w:p w14:paraId="2AF28972" w14:textId="77777777" w:rsidR="00856602" w:rsidRPr="00CF4BF1" w:rsidRDefault="00856602" w:rsidP="00856602">
      <w:pPr>
        <w:rPr>
          <w:rFonts w:ascii="Palatino Linotype" w:hAnsi="Palatino Linotype"/>
          <w:b/>
          <w:bCs/>
        </w:rPr>
      </w:pPr>
      <w:r w:rsidRPr="00CF4BF1">
        <w:rPr>
          <w:rFonts w:ascii="Palatino Linotype" w:hAnsi="Palatino Linotype"/>
          <w:b/>
          <w:bCs/>
        </w:rPr>
        <w:t xml:space="preserve">A seguito delle indicazioni contenute nella nota n. 101936 </w:t>
      </w:r>
      <w:r w:rsidR="008F7F72">
        <w:rPr>
          <w:rFonts w:ascii="Palatino Linotype" w:hAnsi="Palatino Linotype"/>
          <w:b/>
          <w:bCs/>
        </w:rPr>
        <w:t xml:space="preserve">del </w:t>
      </w:r>
      <w:r w:rsidRPr="00CF4BF1">
        <w:rPr>
          <w:rFonts w:ascii="Palatino Linotype" w:hAnsi="Palatino Linotype"/>
          <w:b/>
          <w:bCs/>
        </w:rPr>
        <w:t>9</w:t>
      </w:r>
      <w:r w:rsidR="008F7F72">
        <w:rPr>
          <w:rFonts w:ascii="Palatino Linotype" w:hAnsi="Palatino Linotype"/>
          <w:b/>
          <w:bCs/>
        </w:rPr>
        <w:t>.5.</w:t>
      </w:r>
      <w:r w:rsidRPr="00CF4BF1">
        <w:rPr>
          <w:rFonts w:ascii="Palatino Linotype" w:hAnsi="Palatino Linotype"/>
          <w:b/>
          <w:bCs/>
        </w:rPr>
        <w:t xml:space="preserve">2022 della Direzione Generale degli Affari Interni del Ministero della Giustizia, il rilascio delle copie, anche in caso di accesso da remoto agli atti dei fascicoli informatici di TIAP Document@, è soggetto al pagamento dei diritti. </w:t>
      </w:r>
    </w:p>
    <w:p w14:paraId="358F9EF9" w14:textId="77777777" w:rsidR="00856602" w:rsidRDefault="00856602" w:rsidP="00856602">
      <w:pPr>
        <w:rPr>
          <w:rFonts w:ascii="Palatino Linotype" w:hAnsi="Palatino Linotype"/>
        </w:rPr>
      </w:pPr>
    </w:p>
    <w:p w14:paraId="61D29803" w14:textId="77777777" w:rsidR="00856602" w:rsidRDefault="00856602" w:rsidP="00856602">
      <w:pPr>
        <w:rPr>
          <w:rFonts w:ascii="Palatino Linotype" w:hAnsi="Palatino Linotype"/>
        </w:rPr>
      </w:pPr>
      <w:r w:rsidRPr="00CF4BF1">
        <w:rPr>
          <w:rFonts w:ascii="Palatino Linotype" w:hAnsi="Palatino Linotype"/>
        </w:rPr>
        <w:t xml:space="preserve">Si precisa che la quantificazione è contenuta nell’avviso notificato ex art. 415 bis o 408 c.p.p. o andrà altrimenti richiesta dall’istante, come espressamente indicato nella procedura descritta qui a seguito. </w:t>
      </w:r>
    </w:p>
    <w:p w14:paraId="671E97F5" w14:textId="77777777" w:rsidR="00856602" w:rsidRDefault="00856602" w:rsidP="00856602">
      <w:pPr>
        <w:rPr>
          <w:rFonts w:ascii="Palatino Linotype" w:hAnsi="Palatino Linotype"/>
        </w:rPr>
      </w:pPr>
    </w:p>
    <w:p w14:paraId="1BB88F49" w14:textId="77777777" w:rsidR="008F7F72" w:rsidRDefault="008F7F72" w:rsidP="00856602">
      <w:pPr>
        <w:rPr>
          <w:rFonts w:ascii="Palatino Linotype" w:hAnsi="Palatino Linotype"/>
        </w:rPr>
      </w:pPr>
    </w:p>
    <w:p w14:paraId="125DB1F9" w14:textId="77777777" w:rsidR="00856602" w:rsidRPr="008F7F72" w:rsidRDefault="00856602" w:rsidP="00856602">
      <w:pPr>
        <w:rPr>
          <w:rFonts w:ascii="Palatino Linotype" w:hAnsi="Palatino Linotype"/>
          <w:b/>
          <w:bCs/>
          <w:szCs w:val="24"/>
          <w:u w:val="single"/>
        </w:rPr>
      </w:pPr>
      <w:r w:rsidRPr="008F7F72">
        <w:rPr>
          <w:rFonts w:ascii="Palatino Linotype" w:hAnsi="Palatino Linotype"/>
          <w:b/>
          <w:bCs/>
          <w:szCs w:val="24"/>
          <w:u w:val="single"/>
        </w:rPr>
        <w:t xml:space="preserve">PROCEDURA </w:t>
      </w:r>
    </w:p>
    <w:p w14:paraId="2F8157C1" w14:textId="77777777" w:rsidR="00856602" w:rsidRPr="008F7F72" w:rsidRDefault="00856602" w:rsidP="00856602">
      <w:pPr>
        <w:rPr>
          <w:rFonts w:ascii="Palatino Linotype" w:hAnsi="Palatino Linotype"/>
          <w:szCs w:val="24"/>
        </w:rPr>
      </w:pPr>
    </w:p>
    <w:p w14:paraId="101046BB" w14:textId="77777777" w:rsidR="00856602" w:rsidRPr="008F7F72" w:rsidRDefault="00856602" w:rsidP="00856602">
      <w:pPr>
        <w:pStyle w:val="Paragrafoelenco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8F7F72">
        <w:rPr>
          <w:rFonts w:ascii="Palatino Linotype" w:hAnsi="Palatino Linotype"/>
          <w:b/>
          <w:bCs/>
          <w:sz w:val="24"/>
          <w:szCs w:val="24"/>
          <w:u w:val="single"/>
        </w:rPr>
        <w:t xml:space="preserve">Quantificazione contenuta nell’avviso ex art. 415 bis o 408 c.p.p. </w:t>
      </w:r>
    </w:p>
    <w:p w14:paraId="5B762F93" w14:textId="77777777" w:rsidR="008F7F72" w:rsidRDefault="008F7F72" w:rsidP="00856602">
      <w:pPr>
        <w:rPr>
          <w:rFonts w:ascii="Palatino Linotype" w:hAnsi="Palatino Linotype"/>
          <w:szCs w:val="24"/>
        </w:rPr>
      </w:pPr>
    </w:p>
    <w:p w14:paraId="600C0AB8" w14:textId="77777777" w:rsidR="00856602" w:rsidRPr="005B1E3E" w:rsidRDefault="00856602" w:rsidP="00856602">
      <w:pPr>
        <w:rPr>
          <w:rFonts w:ascii="Palatino Linotype" w:hAnsi="Palatino Linotype"/>
        </w:rPr>
      </w:pPr>
      <w:r w:rsidRPr="008F7F72">
        <w:rPr>
          <w:rFonts w:ascii="Palatino Linotype" w:hAnsi="Palatino Linotype"/>
          <w:szCs w:val="24"/>
        </w:rPr>
        <w:t xml:space="preserve">Il difensore deve selezionare il fascicolo da consultare nell’elenco dei procedimenti </w:t>
      </w:r>
      <w:r w:rsidRPr="005B1E3E">
        <w:rPr>
          <w:rFonts w:ascii="Palatino Linotype" w:hAnsi="Palatino Linotype"/>
        </w:rPr>
        <w:t xml:space="preserve">autorizzati ed entrare in </w:t>
      </w:r>
      <w:r w:rsidRPr="005B1E3E">
        <w:rPr>
          <w:rFonts w:ascii="Palatino Linotype" w:hAnsi="Palatino Linotype"/>
          <w:b/>
          <w:bCs/>
        </w:rPr>
        <w:t>Deposito Atti Successivi</w:t>
      </w:r>
      <w:r w:rsidRPr="005B1E3E">
        <w:rPr>
          <w:rFonts w:ascii="Palatino Linotype" w:hAnsi="Palatino Linotype"/>
        </w:rPr>
        <w:t xml:space="preserve">, scegliere tra gli atti che si vogliono </w:t>
      </w:r>
      <w:r w:rsidRPr="005B1E3E">
        <w:rPr>
          <w:rFonts w:ascii="Palatino Linotype" w:hAnsi="Palatino Linotype"/>
        </w:rPr>
        <w:lastRenderedPageBreak/>
        <w:t xml:space="preserve">depositare il tipo </w:t>
      </w:r>
      <w:r w:rsidRPr="005B1E3E">
        <w:rPr>
          <w:rFonts w:ascii="Palatino Linotype" w:hAnsi="Palatino Linotype"/>
          <w:b/>
          <w:bCs/>
        </w:rPr>
        <w:t>Richiesta accesso agli atti</w:t>
      </w:r>
      <w:r w:rsidRPr="005B1E3E">
        <w:rPr>
          <w:rFonts w:ascii="Palatino Linotype" w:hAnsi="Palatino Linotype"/>
        </w:rPr>
        <w:t xml:space="preserve"> e </w:t>
      </w:r>
      <w:r w:rsidR="008F7F72">
        <w:rPr>
          <w:rFonts w:ascii="Palatino Linotype" w:hAnsi="Palatino Linotype"/>
        </w:rPr>
        <w:t xml:space="preserve">inserire </w:t>
      </w:r>
      <w:r w:rsidRPr="005B1E3E">
        <w:rPr>
          <w:rFonts w:ascii="Palatino Linotype" w:hAnsi="Palatino Linotype"/>
        </w:rPr>
        <w:t xml:space="preserve">in </w:t>
      </w:r>
      <w:r w:rsidRPr="005B1E3E">
        <w:rPr>
          <w:rFonts w:ascii="Palatino Linotype" w:hAnsi="Palatino Linotype"/>
          <w:b/>
          <w:bCs/>
        </w:rPr>
        <w:t>Aggiungi atto</w:t>
      </w:r>
      <w:r w:rsidRPr="005B1E3E">
        <w:rPr>
          <w:rFonts w:ascii="Palatino Linotype" w:hAnsi="Palatino Linotype"/>
        </w:rPr>
        <w:t xml:space="preserve"> la richiesta di consultazione utilizzando esclusivamente il modulo (</w:t>
      </w:r>
      <w:r w:rsidRPr="008F7F72">
        <w:rPr>
          <w:rFonts w:ascii="Palatino Linotype" w:hAnsi="Palatino Linotype"/>
          <w:b/>
          <w:bCs/>
          <w:i/>
          <w:iCs/>
        </w:rPr>
        <w:t>Modello A</w:t>
      </w:r>
      <w:r w:rsidRPr="005B1E3E">
        <w:rPr>
          <w:rFonts w:ascii="Palatino Linotype" w:hAnsi="Palatino Linotype"/>
        </w:rPr>
        <w:t xml:space="preserve">) firmato digitalmente, senza aggiunte e correzioni. Alla richiesta dovrà essere allegata, alternativamente: </w:t>
      </w:r>
    </w:p>
    <w:p w14:paraId="49041966" w14:textId="77777777" w:rsidR="00856602" w:rsidRPr="008F7F72" w:rsidRDefault="00856602" w:rsidP="00856602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7F72">
        <w:rPr>
          <w:rFonts w:ascii="Palatino Linotype" w:hAnsi="Palatino Linotype"/>
          <w:sz w:val="24"/>
          <w:szCs w:val="24"/>
        </w:rPr>
        <w:t>l’attestazione dell’avvenuto pagamento dei diritti, effettuato tramite</w:t>
      </w:r>
      <w:r w:rsidR="008F7F72">
        <w:rPr>
          <w:rFonts w:ascii="Palatino Linotype" w:hAnsi="Palatino Linotype"/>
          <w:sz w:val="24"/>
          <w:szCs w:val="24"/>
        </w:rPr>
        <w:t xml:space="preserve">  </w:t>
      </w:r>
      <w:r w:rsidRPr="008F7F72">
        <w:rPr>
          <w:rFonts w:ascii="Palatino Linotype" w:hAnsi="Palatino Linotype"/>
          <w:sz w:val="24"/>
          <w:szCs w:val="24"/>
        </w:rPr>
        <w:t xml:space="preserve"> PagoPA </w:t>
      </w:r>
    </w:p>
    <w:p w14:paraId="3D4F2EC1" w14:textId="77777777" w:rsidR="00856602" w:rsidRPr="008F7F72" w:rsidRDefault="00856602" w:rsidP="00856602">
      <w:pPr>
        <w:pStyle w:val="Paragrafoelenco"/>
        <w:ind w:left="1080"/>
        <w:jc w:val="both"/>
        <w:rPr>
          <w:rFonts w:ascii="Palatino Linotype" w:hAnsi="Palatino Linotype"/>
          <w:sz w:val="24"/>
          <w:szCs w:val="24"/>
        </w:rPr>
      </w:pPr>
      <w:r w:rsidRPr="008F7F72">
        <w:rPr>
          <w:rFonts w:ascii="Palatino Linotype" w:hAnsi="Palatino Linotype"/>
          <w:i/>
          <w:iCs/>
          <w:sz w:val="24"/>
          <w:szCs w:val="24"/>
        </w:rPr>
        <w:t>oppure</w:t>
      </w:r>
      <w:r w:rsidRPr="008F7F72">
        <w:rPr>
          <w:rFonts w:ascii="Palatino Linotype" w:hAnsi="Palatino Linotype"/>
          <w:sz w:val="24"/>
          <w:szCs w:val="24"/>
        </w:rPr>
        <w:t xml:space="preserve"> </w:t>
      </w:r>
    </w:p>
    <w:p w14:paraId="21C16DA5" w14:textId="77777777" w:rsidR="00856602" w:rsidRPr="008F7F72" w:rsidRDefault="00856602" w:rsidP="00856602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F7F72">
        <w:rPr>
          <w:rFonts w:ascii="Palatino Linotype" w:hAnsi="Palatino Linotype"/>
          <w:sz w:val="24"/>
          <w:szCs w:val="24"/>
        </w:rPr>
        <w:t xml:space="preserve">copia del provvedimento di ammissione al gratuito patrocinio. </w:t>
      </w:r>
    </w:p>
    <w:p w14:paraId="14980A04" w14:textId="77777777" w:rsidR="00856602" w:rsidRPr="008F7F72" w:rsidRDefault="00856602" w:rsidP="00856602">
      <w:pPr>
        <w:rPr>
          <w:rFonts w:ascii="Palatino Linotype" w:hAnsi="Palatino Linotype"/>
          <w:szCs w:val="24"/>
        </w:rPr>
      </w:pPr>
    </w:p>
    <w:p w14:paraId="27C50256" w14:textId="77777777" w:rsidR="00856602" w:rsidRPr="008F7F72" w:rsidRDefault="00856602" w:rsidP="00856602">
      <w:pPr>
        <w:pStyle w:val="Paragrafoelenco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8F7F72">
        <w:rPr>
          <w:rFonts w:ascii="Palatino Linotype" w:hAnsi="Palatino Linotype"/>
          <w:b/>
          <w:bCs/>
          <w:sz w:val="24"/>
          <w:szCs w:val="24"/>
          <w:u w:val="single"/>
        </w:rPr>
        <w:t>Quantificazione NON contenuta nell’avviso ex art. 415 bis o 408 c.p.p. o fascicolo in fase successiva al 415 bis c.p.p.</w:t>
      </w:r>
    </w:p>
    <w:p w14:paraId="4BF770A3" w14:textId="77777777" w:rsidR="00856602" w:rsidRPr="008F7F72" w:rsidRDefault="00856602" w:rsidP="00856602">
      <w:pPr>
        <w:rPr>
          <w:rFonts w:ascii="Palatino Linotype" w:hAnsi="Palatino Linotype"/>
          <w:szCs w:val="24"/>
        </w:rPr>
      </w:pPr>
    </w:p>
    <w:p w14:paraId="6EA8FD6C" w14:textId="1EE49690" w:rsidR="00856602" w:rsidRPr="008F7F72" w:rsidRDefault="00856602" w:rsidP="00856602">
      <w:pPr>
        <w:rPr>
          <w:rFonts w:ascii="Palatino Linotype" w:hAnsi="Palatino Linotype"/>
          <w:szCs w:val="24"/>
        </w:rPr>
      </w:pPr>
      <w:r w:rsidRPr="008F7F72">
        <w:rPr>
          <w:rFonts w:ascii="Palatino Linotype" w:hAnsi="Palatino Linotype"/>
          <w:szCs w:val="24"/>
        </w:rPr>
        <w:t xml:space="preserve">Nel caso in cui la suddetta quantificazione non fosse già stata comunicata contestualmente all’avviso </w:t>
      </w:r>
      <w:r w:rsidR="008F7F72">
        <w:rPr>
          <w:rFonts w:ascii="Palatino Linotype" w:hAnsi="Palatino Linotype"/>
          <w:szCs w:val="24"/>
        </w:rPr>
        <w:t>ai sensi dell’</w:t>
      </w:r>
      <w:r w:rsidRPr="008F7F72">
        <w:rPr>
          <w:rFonts w:ascii="Palatino Linotype" w:hAnsi="Palatino Linotype"/>
          <w:szCs w:val="24"/>
        </w:rPr>
        <w:t xml:space="preserve">art. 415 bis o </w:t>
      </w:r>
      <w:r w:rsidR="008F7F72">
        <w:rPr>
          <w:rFonts w:ascii="Palatino Linotype" w:hAnsi="Palatino Linotype"/>
          <w:szCs w:val="24"/>
        </w:rPr>
        <w:t xml:space="preserve">dell’art. </w:t>
      </w:r>
      <w:r w:rsidRPr="008F7F72">
        <w:rPr>
          <w:rFonts w:ascii="Palatino Linotype" w:hAnsi="Palatino Linotype"/>
          <w:szCs w:val="24"/>
        </w:rPr>
        <w:t xml:space="preserve">408 c.p.p., o se il fascicolo si trovasse in una fase diversa dal 415 bis o 408 c.p.p., il difensore dovrà richiederla inviando l’apposito modulo </w:t>
      </w:r>
      <w:r w:rsidRPr="008F7F72">
        <w:rPr>
          <w:rFonts w:ascii="Palatino Linotype" w:hAnsi="Palatino Linotype"/>
          <w:i/>
          <w:iCs/>
          <w:szCs w:val="24"/>
        </w:rPr>
        <w:t>(</w:t>
      </w:r>
      <w:r w:rsidRPr="008F7F72">
        <w:rPr>
          <w:rFonts w:ascii="Palatino Linotype" w:hAnsi="Palatino Linotype"/>
          <w:b/>
          <w:bCs/>
          <w:i/>
          <w:iCs/>
          <w:szCs w:val="24"/>
        </w:rPr>
        <w:t>Modello B</w:t>
      </w:r>
      <w:r w:rsidRPr="008F7F72">
        <w:rPr>
          <w:rFonts w:ascii="Palatino Linotype" w:hAnsi="Palatino Linotype"/>
          <w:i/>
          <w:iCs/>
          <w:szCs w:val="24"/>
        </w:rPr>
        <w:t>)</w:t>
      </w:r>
      <w:r w:rsidRPr="008F7F72">
        <w:rPr>
          <w:rFonts w:ascii="Palatino Linotype" w:hAnsi="Palatino Linotype"/>
          <w:szCs w:val="24"/>
        </w:rPr>
        <w:t xml:space="preserve"> all’indirizzo </w:t>
      </w:r>
      <w:r w:rsidR="001F0596" w:rsidRPr="001F0596">
        <w:rPr>
          <w:rFonts w:ascii="Palatino Linotype" w:hAnsi="Palatino Linotype"/>
          <w:b/>
          <w:bCs/>
          <w:i/>
          <w:iCs/>
          <w:szCs w:val="24"/>
          <w:u w:val="single"/>
        </w:rPr>
        <w:t>dibattimento.</w:t>
      </w:r>
      <w:bookmarkStart w:id="1" w:name="_GoBack"/>
      <w:bookmarkEnd w:id="1"/>
      <w:r w:rsidRPr="008F7F72">
        <w:rPr>
          <w:rFonts w:ascii="Palatino Linotype" w:hAnsi="Palatino Linotype"/>
          <w:b/>
          <w:bCs/>
          <w:i/>
          <w:iCs/>
          <w:szCs w:val="24"/>
          <w:u w:val="single"/>
        </w:rPr>
        <w:t>procura.</w:t>
      </w:r>
      <w:r w:rsidR="008F7F72" w:rsidRPr="008F7F72">
        <w:rPr>
          <w:rFonts w:ascii="Palatino Linotype" w:hAnsi="Palatino Linotype"/>
          <w:b/>
          <w:bCs/>
          <w:i/>
          <w:iCs/>
          <w:szCs w:val="24"/>
          <w:u w:val="single"/>
        </w:rPr>
        <w:t>crotone</w:t>
      </w:r>
      <w:r w:rsidRPr="008F7F72">
        <w:rPr>
          <w:rFonts w:ascii="Palatino Linotype" w:hAnsi="Palatino Linotype"/>
          <w:b/>
          <w:bCs/>
          <w:i/>
          <w:iCs/>
          <w:szCs w:val="24"/>
          <w:u w:val="single"/>
        </w:rPr>
        <w:t>@giustiziacert.it</w:t>
      </w:r>
      <w:r w:rsidRPr="008F7F72">
        <w:rPr>
          <w:rFonts w:ascii="Palatino Linotype" w:hAnsi="Palatino Linotype"/>
          <w:szCs w:val="24"/>
        </w:rPr>
        <w:t xml:space="preserve"> inserendo nell’oggetto la dicitura “TIAP RICHIESTE”; una volta ricevuta la comunicazione da parte della Segreteria Penale, il difensore potrà procedere alla richiesta di consultazione utilizzando il </w:t>
      </w:r>
      <w:r w:rsidRPr="008F7F72">
        <w:rPr>
          <w:rFonts w:ascii="Palatino Linotype" w:hAnsi="Palatino Linotype"/>
          <w:i/>
          <w:iCs/>
          <w:szCs w:val="24"/>
        </w:rPr>
        <w:t>Modello A</w:t>
      </w:r>
      <w:r w:rsidRPr="008F7F72">
        <w:rPr>
          <w:rFonts w:ascii="Palatino Linotype" w:hAnsi="Palatino Linotype"/>
          <w:szCs w:val="24"/>
        </w:rPr>
        <w:t xml:space="preserve">, seguendo la procedura indicata al punto 1. </w:t>
      </w:r>
    </w:p>
    <w:p w14:paraId="640EFAC3" w14:textId="77777777" w:rsidR="00856602" w:rsidRDefault="00856602" w:rsidP="00856602">
      <w:pPr>
        <w:rPr>
          <w:rFonts w:ascii="Palatino Linotype" w:hAnsi="Palatino Linotype"/>
          <w:szCs w:val="24"/>
        </w:rPr>
      </w:pPr>
    </w:p>
    <w:p w14:paraId="2DB705A6" w14:textId="77777777" w:rsidR="008F7F72" w:rsidRPr="008F7F72" w:rsidRDefault="008F7F72" w:rsidP="00856602">
      <w:pPr>
        <w:rPr>
          <w:rFonts w:ascii="Palatino Linotype" w:hAnsi="Palatino Linotype"/>
          <w:szCs w:val="24"/>
        </w:rPr>
      </w:pPr>
    </w:p>
    <w:p w14:paraId="61607FFA" w14:textId="77777777" w:rsidR="00856602" w:rsidRPr="008F7F72" w:rsidRDefault="00856602" w:rsidP="00856602">
      <w:pPr>
        <w:rPr>
          <w:rFonts w:ascii="Palatino Linotype" w:hAnsi="Palatino Linotype"/>
          <w:b/>
          <w:bCs/>
          <w:szCs w:val="24"/>
          <w:u w:val="single"/>
        </w:rPr>
      </w:pPr>
      <w:r w:rsidRPr="008F7F72">
        <w:rPr>
          <w:rFonts w:ascii="Palatino Linotype" w:hAnsi="Palatino Linotype"/>
          <w:b/>
          <w:bCs/>
          <w:szCs w:val="24"/>
          <w:u w:val="single"/>
        </w:rPr>
        <w:t xml:space="preserve">MODALITÀ DI CONSULTAZIONE </w:t>
      </w:r>
    </w:p>
    <w:p w14:paraId="4E1A8F62" w14:textId="77777777" w:rsidR="00856602" w:rsidRPr="008F7F72" w:rsidRDefault="00856602" w:rsidP="00856602">
      <w:pPr>
        <w:rPr>
          <w:rFonts w:ascii="Palatino Linotype" w:hAnsi="Palatino Linotype"/>
          <w:szCs w:val="24"/>
        </w:rPr>
      </w:pPr>
    </w:p>
    <w:p w14:paraId="6BFB7C37" w14:textId="77777777" w:rsidR="00856602" w:rsidRPr="008F7F72" w:rsidRDefault="00856602" w:rsidP="00856602">
      <w:pPr>
        <w:rPr>
          <w:rFonts w:ascii="Palatino Linotype" w:hAnsi="Palatino Linotype"/>
          <w:szCs w:val="24"/>
        </w:rPr>
      </w:pPr>
      <w:r w:rsidRPr="008F7F72">
        <w:rPr>
          <w:rFonts w:ascii="Palatino Linotype" w:hAnsi="Palatino Linotype"/>
          <w:szCs w:val="24"/>
        </w:rPr>
        <w:t xml:space="preserve">L’Ufficio, all’esito delle verifiche previste, se accoglie la richiesta di accesso agli atti, abilita il difensore alla consultazione del fascicolo da remoto. </w:t>
      </w:r>
    </w:p>
    <w:p w14:paraId="29D92D1D" w14:textId="77777777" w:rsidR="00856602" w:rsidRPr="008F7F72" w:rsidRDefault="00856602" w:rsidP="00856602">
      <w:pPr>
        <w:rPr>
          <w:rFonts w:ascii="Palatino Linotype" w:hAnsi="Palatino Linotype"/>
          <w:szCs w:val="24"/>
        </w:rPr>
      </w:pPr>
    </w:p>
    <w:p w14:paraId="0BA47101" w14:textId="77777777" w:rsidR="00856602" w:rsidRPr="008F7F72" w:rsidRDefault="00856602" w:rsidP="00856602">
      <w:pPr>
        <w:rPr>
          <w:rFonts w:ascii="Palatino Linotype" w:hAnsi="Palatino Linotype"/>
          <w:szCs w:val="24"/>
        </w:rPr>
      </w:pPr>
      <w:r w:rsidRPr="008F7F72">
        <w:rPr>
          <w:rFonts w:ascii="Palatino Linotype" w:hAnsi="Palatino Linotype"/>
          <w:szCs w:val="24"/>
        </w:rPr>
        <w:t xml:space="preserve">Lo stesso giorno dell’accoglimento dell’istanza, dopo le ore 20.00, il sistema TIAP Document@ genera automaticamente un </w:t>
      </w:r>
      <w:r w:rsidRPr="008F7F72">
        <w:rPr>
          <w:rFonts w:ascii="Palatino Linotype" w:hAnsi="Palatino Linotype"/>
          <w:i/>
          <w:iCs/>
          <w:szCs w:val="24"/>
        </w:rPr>
        <w:t>file</w:t>
      </w:r>
      <w:r w:rsidRPr="008F7F72">
        <w:rPr>
          <w:rFonts w:ascii="Palatino Linotype" w:hAnsi="Palatino Linotype"/>
          <w:szCs w:val="24"/>
        </w:rPr>
        <w:t xml:space="preserve"> in formato compresso (.zip), segnalato da un’icona a lato del fascicolo “visibile”, protetto da </w:t>
      </w:r>
      <w:r w:rsidRPr="008F7F72">
        <w:rPr>
          <w:rFonts w:ascii="Palatino Linotype" w:hAnsi="Palatino Linotype"/>
          <w:i/>
          <w:iCs/>
          <w:szCs w:val="24"/>
        </w:rPr>
        <w:t>password</w:t>
      </w:r>
      <w:r w:rsidRPr="008F7F72">
        <w:rPr>
          <w:rFonts w:ascii="Palatino Linotype" w:hAnsi="Palatino Linotype"/>
          <w:szCs w:val="24"/>
        </w:rPr>
        <w:t xml:space="preserve"> che viene inviata in automatico all’indirizzo pec del difensore istante. </w:t>
      </w:r>
    </w:p>
    <w:p w14:paraId="3E8FE112" w14:textId="77777777" w:rsidR="00856602" w:rsidRPr="008F7F72" w:rsidRDefault="00856602" w:rsidP="00856602">
      <w:pPr>
        <w:rPr>
          <w:rFonts w:ascii="Palatino Linotype" w:hAnsi="Palatino Linotype"/>
          <w:szCs w:val="24"/>
        </w:rPr>
      </w:pPr>
    </w:p>
    <w:p w14:paraId="30BA41BD" w14:textId="77777777" w:rsidR="00856602" w:rsidRPr="008F7F72" w:rsidRDefault="00856602" w:rsidP="00856602">
      <w:pPr>
        <w:rPr>
          <w:rFonts w:ascii="Palatino Linotype" w:hAnsi="Palatino Linotype"/>
          <w:szCs w:val="24"/>
        </w:rPr>
      </w:pPr>
      <w:r w:rsidRPr="008F7F72">
        <w:rPr>
          <w:rFonts w:ascii="Palatino Linotype" w:hAnsi="Palatino Linotype"/>
          <w:szCs w:val="24"/>
        </w:rPr>
        <w:t>Il link per la consultazione e l’estrazione di copie resta disponibile per tre giorni.</w:t>
      </w:r>
    </w:p>
    <w:p w14:paraId="7478AD19" w14:textId="77777777" w:rsidR="00153A7D" w:rsidRPr="008F7F72" w:rsidRDefault="00153A7D" w:rsidP="009F5E4F">
      <w:pPr>
        <w:rPr>
          <w:rFonts w:ascii="Palatino Linotype" w:hAnsi="Palatino Linotype"/>
          <w:szCs w:val="24"/>
        </w:rPr>
      </w:pPr>
    </w:p>
    <w:p w14:paraId="5495962F" w14:textId="77777777" w:rsidR="00153A7D" w:rsidRPr="008F7F72" w:rsidRDefault="00153A7D" w:rsidP="009F5E4F">
      <w:pPr>
        <w:rPr>
          <w:rFonts w:ascii="Palatino Linotype" w:hAnsi="Palatino Linotype"/>
          <w:szCs w:val="24"/>
        </w:rPr>
      </w:pPr>
    </w:p>
    <w:p w14:paraId="09AF7DE4" w14:textId="77777777" w:rsidR="007F1DC3" w:rsidRPr="006D6FEE" w:rsidRDefault="007F1DC3" w:rsidP="007F1DC3">
      <w:pPr>
        <w:ind w:firstLine="5387"/>
        <w:rPr>
          <w:rFonts w:ascii="Palatino Linotype" w:hAnsi="Palatino Linotype"/>
          <w:szCs w:val="24"/>
        </w:rPr>
      </w:pPr>
      <w:r w:rsidRPr="006D6FEE">
        <w:rPr>
          <w:rFonts w:ascii="Palatino Linotype" w:hAnsi="Palatino Linotype"/>
          <w:szCs w:val="24"/>
        </w:rPr>
        <w:t>Il Procuratore della Repubblica</w:t>
      </w:r>
    </w:p>
    <w:p w14:paraId="2C7D4E20" w14:textId="77777777" w:rsidR="00840C9D" w:rsidRPr="006D6FEE" w:rsidRDefault="007F1DC3" w:rsidP="000F7DBB">
      <w:pPr>
        <w:ind w:firstLine="5387"/>
        <w:rPr>
          <w:rFonts w:ascii="Palatino Linotype" w:hAnsi="Palatino Linotype"/>
          <w:i/>
          <w:szCs w:val="24"/>
        </w:rPr>
      </w:pPr>
      <w:r w:rsidRPr="006D6FEE">
        <w:rPr>
          <w:rFonts w:ascii="Palatino Linotype" w:hAnsi="Palatino Linotype"/>
          <w:i/>
          <w:szCs w:val="24"/>
        </w:rPr>
        <w:t xml:space="preserve">       dott. Giuseppe Capoccia</w:t>
      </w:r>
    </w:p>
    <w:p w14:paraId="5E2AE13D" w14:textId="77777777" w:rsidR="00840C9D" w:rsidRPr="006D6FEE" w:rsidRDefault="00840C9D" w:rsidP="00EE1A3F">
      <w:pPr>
        <w:rPr>
          <w:rFonts w:ascii="Palatino Linotype" w:hAnsi="Palatino Linotype"/>
          <w:szCs w:val="24"/>
        </w:rPr>
      </w:pPr>
    </w:p>
    <w:sectPr w:rsidR="00840C9D" w:rsidRPr="006D6FEE">
      <w:headerReference w:type="default" r:id="rId12"/>
      <w:headerReference w:type="first" r:id="rId13"/>
      <w:pgSz w:w="11907" w:h="16834" w:code="9"/>
      <w:pgMar w:top="851" w:right="1418" w:bottom="851" w:left="1418" w:header="720" w:footer="720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1121E" w14:textId="77777777" w:rsidR="008F7F72" w:rsidRDefault="008F7F72">
      <w:r>
        <w:separator/>
      </w:r>
    </w:p>
  </w:endnote>
  <w:endnote w:type="continuationSeparator" w:id="0">
    <w:p w14:paraId="43060542" w14:textId="77777777" w:rsidR="008F7F72" w:rsidRDefault="008F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nglischeSchT">
    <w:altName w:val="Mistral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C8216" w14:textId="77777777" w:rsidR="008F7F72" w:rsidRDefault="008F7F72">
      <w:r>
        <w:separator/>
      </w:r>
    </w:p>
  </w:footnote>
  <w:footnote w:type="continuationSeparator" w:id="0">
    <w:p w14:paraId="692574DF" w14:textId="77777777" w:rsidR="008F7F72" w:rsidRDefault="008F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4177"/>
      <w:gridCol w:w="4177"/>
    </w:tblGrid>
    <w:tr w:rsidR="00E728DD" w14:paraId="1C16C6F4" w14:textId="77777777" w:rsidTr="00E728DD">
      <w:trPr>
        <w:trHeight w:val="709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20C20443" w14:textId="77777777" w:rsidR="00E728DD" w:rsidRDefault="00007A44" w:rsidP="00B67120">
          <w:pPr>
            <w:pStyle w:val="Titolo2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0" allowOverlap="1" wp14:anchorId="66C62F90" wp14:editId="5C1B8FB0">
                <wp:simplePos x="0" y="0"/>
                <wp:positionH relativeFrom="column">
                  <wp:posOffset>123190</wp:posOffset>
                </wp:positionH>
                <wp:positionV relativeFrom="paragraph">
                  <wp:posOffset>6985</wp:posOffset>
                </wp:positionV>
                <wp:extent cx="361950" cy="381000"/>
                <wp:effectExtent l="0" t="0" r="0" b="0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E2A3BEE" w14:textId="77777777" w:rsidR="00E728DD" w:rsidRDefault="00E728DD" w:rsidP="00B67120">
          <w:pPr>
            <w:pStyle w:val="Titolo2"/>
            <w:rPr>
              <w:sz w:val="20"/>
            </w:rPr>
          </w:pPr>
        </w:p>
      </w:tc>
      <w:tc>
        <w:tcPr>
          <w:tcW w:w="4177" w:type="dxa"/>
          <w:tcBorders>
            <w:top w:val="nil"/>
            <w:left w:val="nil"/>
            <w:bottom w:val="nil"/>
            <w:right w:val="nil"/>
          </w:tcBorders>
        </w:tcPr>
        <w:p w14:paraId="4549FF23" w14:textId="77777777" w:rsidR="00E728DD" w:rsidRPr="00E728DD" w:rsidRDefault="00E728DD" w:rsidP="00E728DD"/>
        <w:p w14:paraId="42CDCE36" w14:textId="77777777" w:rsidR="00E728DD" w:rsidRPr="00122497" w:rsidRDefault="00E728DD" w:rsidP="00B67120">
          <w:pPr>
            <w:pStyle w:val="Titolo2"/>
            <w:rPr>
              <w:rFonts w:ascii="Palatino Linotype" w:hAnsi="Palatino Linotype"/>
              <w:b w:val="0"/>
              <w:i/>
              <w:szCs w:val="24"/>
            </w:rPr>
          </w:pPr>
          <w:r w:rsidRPr="00122497">
            <w:rPr>
              <w:rFonts w:ascii="Palatino Linotype" w:hAnsi="Palatino Linotype"/>
              <w:b w:val="0"/>
              <w:i/>
              <w:szCs w:val="24"/>
            </w:rPr>
            <w:t>Procura della Repubblica di Crotone</w:t>
          </w:r>
        </w:p>
        <w:p w14:paraId="6C6CC80E" w14:textId="77777777" w:rsidR="00E728DD" w:rsidRDefault="00E728DD" w:rsidP="00B67120">
          <w:pPr>
            <w:pStyle w:val="Titolo2"/>
            <w:rPr>
              <w:b w:val="0"/>
              <w:sz w:val="20"/>
            </w:rPr>
          </w:pPr>
        </w:p>
      </w:tc>
      <w:tc>
        <w:tcPr>
          <w:tcW w:w="4177" w:type="dxa"/>
          <w:tcBorders>
            <w:top w:val="nil"/>
            <w:left w:val="nil"/>
            <w:bottom w:val="nil"/>
            <w:right w:val="nil"/>
          </w:tcBorders>
        </w:tcPr>
        <w:p w14:paraId="2443A425" w14:textId="77777777" w:rsidR="00E728DD" w:rsidRDefault="00E728DD" w:rsidP="00B67120">
          <w:pPr>
            <w:pStyle w:val="Titolo2"/>
            <w:rPr>
              <w:sz w:val="16"/>
            </w:rPr>
          </w:pPr>
        </w:p>
        <w:p w14:paraId="51FCD803" w14:textId="77777777" w:rsidR="00E728DD" w:rsidRDefault="00E728DD" w:rsidP="00B67120"/>
        <w:p w14:paraId="6BF7CA3F" w14:textId="77777777" w:rsidR="00E728DD" w:rsidRPr="00E728DD" w:rsidRDefault="00E728DD" w:rsidP="00E728DD">
          <w:pPr>
            <w:jc w:val="right"/>
            <w:rPr>
              <w:rFonts w:ascii="Palatino Linotype" w:hAnsi="Palatino Linotype"/>
              <w:sz w:val="20"/>
            </w:rPr>
          </w:pPr>
          <w:r w:rsidRPr="00E728DD">
            <w:rPr>
              <w:rFonts w:ascii="Palatino Linotype" w:hAnsi="Palatino Linotype"/>
              <w:sz w:val="20"/>
            </w:rPr>
            <w:fldChar w:fldCharType="begin"/>
          </w:r>
          <w:r w:rsidRPr="00E728DD">
            <w:rPr>
              <w:rFonts w:ascii="Palatino Linotype" w:hAnsi="Palatino Linotype"/>
              <w:sz w:val="20"/>
            </w:rPr>
            <w:instrText>PAGE   \* MERGEFORMAT</w:instrText>
          </w:r>
          <w:r w:rsidRPr="00E728DD">
            <w:rPr>
              <w:rFonts w:ascii="Palatino Linotype" w:hAnsi="Palatino Linotype"/>
              <w:sz w:val="20"/>
            </w:rPr>
            <w:fldChar w:fldCharType="separate"/>
          </w:r>
          <w:r w:rsidR="00153A7D">
            <w:rPr>
              <w:rFonts w:ascii="Palatino Linotype" w:hAnsi="Palatino Linotype"/>
              <w:noProof/>
              <w:sz w:val="20"/>
            </w:rPr>
            <w:t>2</w:t>
          </w:r>
          <w:r w:rsidRPr="00E728DD">
            <w:rPr>
              <w:rFonts w:ascii="Palatino Linotype" w:hAnsi="Palatino Linotype"/>
              <w:sz w:val="20"/>
            </w:rPr>
            <w:fldChar w:fldCharType="end"/>
          </w:r>
        </w:p>
      </w:tc>
    </w:tr>
  </w:tbl>
  <w:p w14:paraId="30DB400E" w14:textId="77777777" w:rsidR="007F399E" w:rsidRDefault="007F399E" w:rsidP="00E728DD">
    <w:pPr>
      <w:pStyle w:val="Intestazione"/>
      <w:pBdr>
        <w:bottom w:val="single" w:sz="4" w:space="0" w:color="auto"/>
      </w:pBd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FC18" w14:textId="77777777" w:rsidR="007F399E" w:rsidRDefault="00007A44">
    <w:pPr>
      <w:pStyle w:val="Intestazione"/>
      <w:tabs>
        <w:tab w:val="clear" w:pos="4819"/>
      </w:tabs>
      <w:jc w:val="center"/>
      <w:rPr>
        <w:sz w:val="16"/>
      </w:rPr>
    </w:pPr>
    <w:r>
      <w:rPr>
        <w:noProof/>
        <w:sz w:val="16"/>
      </w:rPr>
      <w:drawing>
        <wp:inline distT="0" distB="0" distL="0" distR="0" wp14:anchorId="28642DC1" wp14:editId="263BFE49">
          <wp:extent cx="590550" cy="685800"/>
          <wp:effectExtent l="0" t="0" r="0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C8EBE7" w14:textId="77777777" w:rsidR="00C72614" w:rsidRPr="001B4630" w:rsidRDefault="00C72614" w:rsidP="00C72614">
    <w:pPr>
      <w:rPr>
        <w:rFonts w:ascii="Palace Script MT" w:hAnsi="Palace Script MT"/>
        <w:sz w:val="106"/>
        <w:szCs w:val="106"/>
      </w:rPr>
    </w:pPr>
    <w:r w:rsidRPr="001B4630">
      <w:rPr>
        <w:rFonts w:ascii="Palace Script MT" w:hAnsi="Palace Script MT"/>
        <w:sz w:val="106"/>
        <w:szCs w:val="106"/>
      </w:rPr>
      <w:t>Procura della Repubblica di Crotone</w:t>
    </w:r>
  </w:p>
  <w:p w14:paraId="280EC5D3" w14:textId="77777777" w:rsidR="00EE1A3F" w:rsidRPr="00EE1A3F" w:rsidRDefault="00EE1A3F" w:rsidP="00EE1A3F">
    <w:pPr>
      <w:pStyle w:val="Intestazione"/>
      <w:jc w:val="center"/>
    </w:pPr>
    <w:r>
      <w:t>____________________________________</w:t>
    </w:r>
    <w:r w:rsidR="00122497"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C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13CF7"/>
    <w:multiLevelType w:val="hybridMultilevel"/>
    <w:tmpl w:val="D3644F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349"/>
    <w:multiLevelType w:val="hybridMultilevel"/>
    <w:tmpl w:val="5128CAE0"/>
    <w:lvl w:ilvl="0" w:tplc="5DE21F68">
      <w:start w:val="2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2548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A604FC"/>
    <w:multiLevelType w:val="hybridMultilevel"/>
    <w:tmpl w:val="1BEC8F08"/>
    <w:lvl w:ilvl="0" w:tplc="CA3E456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3DC4"/>
    <w:multiLevelType w:val="singleLevel"/>
    <w:tmpl w:val="7960B64C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24A04EEB"/>
    <w:multiLevelType w:val="singleLevel"/>
    <w:tmpl w:val="B12EAB3C"/>
    <w:lvl w:ilvl="0">
      <w:start w:val="31"/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abstractNum w:abstractNumId="7" w15:restartNumberingAfterBreak="0">
    <w:nsid w:val="2DC9465C"/>
    <w:multiLevelType w:val="singleLevel"/>
    <w:tmpl w:val="FD4E3D44"/>
    <w:lvl w:ilvl="0">
      <w:start w:val="14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8" w15:restartNumberingAfterBreak="0">
    <w:nsid w:val="3561125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9CC0438"/>
    <w:multiLevelType w:val="singleLevel"/>
    <w:tmpl w:val="03E60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0" w15:restartNumberingAfterBreak="0">
    <w:nsid w:val="439027BF"/>
    <w:multiLevelType w:val="hybridMultilevel"/>
    <w:tmpl w:val="12A49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A32EF"/>
    <w:multiLevelType w:val="singleLevel"/>
    <w:tmpl w:val="7E5CFA5E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5646150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646A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36666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72"/>
    <w:rsid w:val="00007A44"/>
    <w:rsid w:val="0005163A"/>
    <w:rsid w:val="000C246D"/>
    <w:rsid w:val="000F7DBB"/>
    <w:rsid w:val="00122497"/>
    <w:rsid w:val="00153A7D"/>
    <w:rsid w:val="001B4630"/>
    <w:rsid w:val="001F0596"/>
    <w:rsid w:val="0039307B"/>
    <w:rsid w:val="004150B1"/>
    <w:rsid w:val="00423386"/>
    <w:rsid w:val="00482EC5"/>
    <w:rsid w:val="00483142"/>
    <w:rsid w:val="004D6731"/>
    <w:rsid w:val="006D6FEE"/>
    <w:rsid w:val="007F1DC3"/>
    <w:rsid w:val="007F399E"/>
    <w:rsid w:val="00840C9D"/>
    <w:rsid w:val="00856602"/>
    <w:rsid w:val="00863DEF"/>
    <w:rsid w:val="008C35A2"/>
    <w:rsid w:val="008F3F49"/>
    <w:rsid w:val="008F7F72"/>
    <w:rsid w:val="009F5E4F"/>
    <w:rsid w:val="00A20DB9"/>
    <w:rsid w:val="00C032CB"/>
    <w:rsid w:val="00C05FC6"/>
    <w:rsid w:val="00C227D3"/>
    <w:rsid w:val="00C72614"/>
    <w:rsid w:val="00C75FEF"/>
    <w:rsid w:val="00DB748A"/>
    <w:rsid w:val="00E1015C"/>
    <w:rsid w:val="00E728DD"/>
    <w:rsid w:val="00EE1A3F"/>
    <w:rsid w:val="00F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,#f8f8f8"/>
    </o:shapedefaults>
    <o:shapelayout v:ext="edit">
      <o:idmap v:ext="edit" data="1"/>
    </o:shapelayout>
  </w:shapeDefaults>
  <w:decimalSymbol w:val=","/>
  <w:listSeparator w:val=";"/>
  <w14:docId w14:val="4A02A61F"/>
  <w15:docId w15:val="{D738CCBA-7122-4EF2-8F86-203AC77C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EnglischeSchT" w:hAnsi="EnglischeSchT"/>
      <w:b/>
      <w:spacing w:val="10"/>
      <w:sz w:val="36"/>
    </w:rPr>
  </w:style>
  <w:style w:type="paragraph" w:styleId="Titolo5">
    <w:name w:val="heading 5"/>
    <w:basedOn w:val="Normale"/>
    <w:next w:val="Normale"/>
    <w:qFormat/>
    <w:pPr>
      <w:keepNext/>
      <w:ind w:left="36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rFonts w:ascii="EnglischeSchT" w:hAnsi="EnglischeSchT"/>
      <w:spacing w:val="10"/>
      <w:sz w:val="48"/>
    </w:rPr>
  </w:style>
  <w:style w:type="paragraph" w:styleId="Corpotesto">
    <w:name w:val="Body Text"/>
    <w:basedOn w:val="Normale"/>
    <w:rPr>
      <w:b/>
    </w:rPr>
  </w:style>
  <w:style w:type="paragraph" w:styleId="Corpodeltesto2">
    <w:name w:val="Body Text 2"/>
    <w:basedOn w:val="Normale"/>
    <w:rPr>
      <w:sz w:val="22"/>
    </w:rPr>
  </w:style>
  <w:style w:type="paragraph" w:styleId="Corpodeltesto3">
    <w:name w:val="Body Text 3"/>
    <w:basedOn w:val="Normale"/>
    <w:rPr>
      <w:b/>
      <w:sz w:val="22"/>
    </w:rPr>
  </w:style>
  <w:style w:type="paragraph" w:styleId="Testofumetto">
    <w:name w:val="Balloon Text"/>
    <w:basedOn w:val="Normale"/>
    <w:link w:val="TestofumettoCarattere"/>
    <w:rsid w:val="00840C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40C9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1DC3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8F7F7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7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st.giustiz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seppe.capoccia\OneDrive%20-%20Giustizia\CROTONE%20GENERALE\CROTONE\INFORMATICA\TIAP\GUIDA%20TIAP%20Crot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A131B308FC9741A9F989F31D9AE3EE" ma:contentTypeVersion="9" ma:contentTypeDescription="Creare un nuovo documento." ma:contentTypeScope="" ma:versionID="790ecb9410ba80f575ed03a9508deddc">
  <xsd:schema xmlns:xsd="http://www.w3.org/2001/XMLSchema" xmlns:xs="http://www.w3.org/2001/XMLSchema" xmlns:p="http://schemas.microsoft.com/office/2006/metadata/properties" xmlns:ns3="69b63781-d773-4069-87e8-696f1ae7895a" targetNamespace="http://schemas.microsoft.com/office/2006/metadata/properties" ma:root="true" ma:fieldsID="7cd9abd901399fb212169d56e4db9c52" ns3:_="">
    <xsd:import namespace="69b63781-d773-4069-87e8-696f1ae789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63781-d773-4069-87e8-696f1ae78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C46B-7036-49B7-BB07-ECF72AD7401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b63781-d773-4069-87e8-696f1ae7895a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1B43EA-C202-4A04-9AD3-4E98ED13F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8C10E-66B5-4479-9342-980242893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63781-d773-4069-87e8-696f1ae78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F7696-5630-4A65-A72F-DFEDC70D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 TIAP Crotone</Template>
  <TotalTime>131</TotalTime>
  <Pages>2</Pages>
  <Words>497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 /  R.G. notizie di reato</vt:lpstr>
    </vt:vector>
  </TitlesOfParts>
  <Company>Procura presso il Tribunale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 /  R.G. notizie di reato</dc:title>
  <dc:creator>Giuseppe Capoccia</dc:creator>
  <cp:lastModifiedBy>Giuseppe Capoccia</cp:lastModifiedBy>
  <cp:revision>2</cp:revision>
  <cp:lastPrinted>2022-03-22T15:54:00Z</cp:lastPrinted>
  <dcterms:created xsi:type="dcterms:W3CDTF">2022-11-09T11:54:00Z</dcterms:created>
  <dcterms:modified xsi:type="dcterms:W3CDTF">2022-11-10T14:51:00Z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0x010100FAA131B308FC9741A9F989F31D9AE3EE</vt:lpwstr>
  </property>
</Properties>
</file>